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756" w:lineRule="atLeast"/>
        <w:jc w:val="center"/>
        <w:outlineLvl w:val="0"/>
        <w:rPr>
          <w:rFonts w:hint="default" w:ascii="微软雅黑" w:hAnsi="微软雅黑" w:eastAsia="微软雅黑" w:cs="宋体"/>
          <w:color w:val="000000" w:themeColor="text1"/>
          <w:kern w:val="36"/>
          <w:sz w:val="54"/>
          <w:szCs w:val="54"/>
          <w:lang w:val="en-US" w:eastAsia="zh-CN"/>
          <w14:textFill>
            <w14:solidFill>
              <w14:schemeClr w14:val="tx1"/>
            </w14:solidFill>
          </w14:textFill>
        </w:rPr>
      </w:pPr>
      <w:r>
        <w:rPr>
          <w:rFonts w:hint="eastAsia" w:ascii="微软雅黑" w:hAnsi="微软雅黑" w:eastAsia="微软雅黑" w:cs="宋体"/>
          <w:color w:val="000000" w:themeColor="text1"/>
          <w:kern w:val="36"/>
          <w:sz w:val="54"/>
          <w:szCs w:val="54"/>
          <w:lang w:eastAsia="zh-CN"/>
          <w14:textFill>
            <w14:solidFill>
              <w14:schemeClr w14:val="tx1"/>
            </w14:solidFill>
          </w14:textFill>
        </w:rPr>
        <w:t>宜春市卫生健康委</w:t>
      </w:r>
      <w:r>
        <w:rPr>
          <w:rFonts w:hint="eastAsia" w:ascii="微软雅黑" w:hAnsi="微软雅黑" w:eastAsia="微软雅黑" w:cs="宋体"/>
          <w:color w:val="000000" w:themeColor="text1"/>
          <w:kern w:val="36"/>
          <w:sz w:val="54"/>
          <w:szCs w:val="54"/>
          <w:lang w:val="en-US" w:eastAsia="zh-CN"/>
          <w14:textFill>
            <w14:solidFill>
              <w14:schemeClr w14:val="tx1"/>
            </w14:solidFill>
          </w14:textFill>
        </w:rPr>
        <w:t>2023年政府</w:t>
      </w:r>
    </w:p>
    <w:p>
      <w:pPr>
        <w:widowControl/>
        <w:wordWrap w:val="0"/>
        <w:spacing w:line="756" w:lineRule="atLeast"/>
        <w:jc w:val="center"/>
        <w:outlineLvl w:val="0"/>
        <w:rPr>
          <w:rFonts w:ascii="微软雅黑" w:hAnsi="微软雅黑" w:eastAsia="微软雅黑" w:cs="宋体"/>
          <w:color w:val="000000" w:themeColor="text1"/>
          <w:kern w:val="36"/>
          <w:sz w:val="54"/>
          <w:szCs w:val="54"/>
          <w14:textFill>
            <w14:solidFill>
              <w14:schemeClr w14:val="tx1"/>
            </w14:solidFill>
          </w14:textFill>
        </w:rPr>
      </w:pPr>
      <w:r>
        <w:rPr>
          <w:rFonts w:hint="eastAsia" w:ascii="微软雅黑" w:hAnsi="微软雅黑" w:eastAsia="微软雅黑" w:cs="宋体"/>
          <w:color w:val="000000" w:themeColor="text1"/>
          <w:kern w:val="36"/>
          <w:sz w:val="54"/>
          <w:szCs w:val="54"/>
          <w14:textFill>
            <w14:solidFill>
              <w14:schemeClr w14:val="tx1"/>
            </w14:solidFill>
          </w14:textFill>
        </w:rPr>
        <w:t>信息公开工作年度报告</w:t>
      </w:r>
    </w:p>
    <w:p>
      <w:pPr>
        <w:widowControl/>
        <w:shd w:val="clear" w:color="auto" w:fill="FFFFFF"/>
        <w:spacing w:before="225" w:line="360" w:lineRule="atLeast"/>
        <w:ind w:firstLine="480"/>
        <w:rPr>
          <w:rFonts w:ascii="宋体" w:hAnsi="宋体" w:eastAsia="宋体" w:cs="宋体"/>
          <w:color w:val="000000"/>
          <w:kern w:val="0"/>
          <w:sz w:val="24"/>
          <w:szCs w:val="24"/>
        </w:rPr>
      </w:pPr>
    </w:p>
    <w:p>
      <w:pPr>
        <w:widowControl/>
        <w:shd w:val="clear" w:color="auto" w:fill="FFFFFF"/>
        <w:spacing w:before="225" w:line="580" w:lineRule="atLeas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本报告依据《中华人民共和国政府信息公开条例》要求，由宜春市卫生健康委结合有关统计数据编制。本年度报告中所列数据的统计期限自202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年1月1日起至202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12月31日止。全文包括总体情况、主动公开政府信息情况、收到和处理政府信息公开申请情况、政府信息公开行政复议行政诉讼情况、存在的主要问题及下一步整改措施、其他需要报告的事项。本年度报告的电子版可以从宜春市卫生健康委网站（http://wjw.yichun.gov.cn/）下载。如对本报告有任何疑问，请与宜春市卫生健康委联系（地址：江西省宜春市宜阳大厦西座8楼，电话：0795-3226369，邮编：336000）。</w:t>
      </w:r>
    </w:p>
    <w:p>
      <w:pPr>
        <w:keepNext w:val="0"/>
        <w:keepLines w:val="0"/>
        <w:pageBreakBefore w:val="0"/>
        <w:widowControl/>
        <w:shd w:val="clear" w:color="auto" w:fill="FFFFFF"/>
        <w:kinsoku/>
        <w:wordWrap/>
        <w:overflowPunct/>
        <w:topLinePunct w:val="0"/>
        <w:autoSpaceDE/>
        <w:autoSpaceDN/>
        <w:bidi w:val="0"/>
        <w:adjustRightInd/>
        <w:snapToGrid/>
        <w:spacing w:before="225" w:after="225" w:line="580" w:lineRule="atLeas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一、 总体情况</w:t>
      </w:r>
    </w:p>
    <w:p>
      <w:pPr>
        <w:widowControl/>
        <w:shd w:val="clear" w:color="auto" w:fill="FFFFFF"/>
        <w:spacing w:before="225" w:after="225" w:line="580"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2023年是全面贯彻落实党的二十大精神的开局之年，</w:t>
      </w:r>
      <w:r>
        <w:rPr>
          <w:rFonts w:hint="eastAsia" w:ascii="仿宋_GB2312" w:hAnsi="仿宋_GB2312" w:eastAsia="仿宋_GB2312" w:cs="仿宋_GB2312"/>
          <w:color w:val="000000"/>
          <w:kern w:val="0"/>
          <w:sz w:val="32"/>
          <w:szCs w:val="32"/>
        </w:rPr>
        <w:t>宜春市卫生健康委政务公开工作坚持以习近平新时代中国特色社会主义思想为指导，全面贯彻党的二十大精神，坚定拥护“两个确立”、坚决做到“两个维护”</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按照市政府政务公开工作要求，强化重点领域信息公开，积极主动回应社会关切，充分发挥政务公开促落实、强监管功能，增强行政事务公开透明度，加快推进政府职能转变，助推全市卫生健康事业高质量发展。</w:t>
      </w:r>
    </w:p>
    <w:p>
      <w:pPr>
        <w:widowControl/>
        <w:shd w:val="clear" w:color="auto" w:fill="FFFFFF"/>
        <w:ind w:firstLine="48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（一）主动公开</w:t>
      </w:r>
    </w:p>
    <w:p>
      <w:pPr>
        <w:widowControl/>
        <w:shd w:val="clear" w:color="auto" w:fill="FFFFFF"/>
        <w:spacing w:before="225" w:after="225" w:line="580" w:lineRule="atLeast"/>
        <w:ind w:firstLine="48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是推进法定主动公开。在市政府门户网站开设法定主动公开专栏，完善公开目录，按要求落实专人负责，做好日常检查、维护和更新工作，加强监测，发现问题及时整改，并做到举一反三。及时公开预算决算信息，强化权责清单、办事指南等信息的动态调整更新。二是推进重点工作信息公开。及时公开健康宜春行动等卫生健康重点工作推进落实情况，广泛宣传卫生健康领域新政策、新成效，持续公布人大建议、政协提案办理情况等等。三是推进重点领域信息公开。做好疫情防控相关政策文件的信息发布工作，及时回应社会关切，大力开展健康科普宣传。四是精准解读政策文件。严格落实政策解读和政策文件同步制度。严格落实公文公开属性源头审查和公开前发布审查工作机制，报请市政府或市政府办公室发文的，按要求填写《宜春市行政机关公文公开发布意见单》。</w:t>
      </w:r>
    </w:p>
    <w:p>
      <w:pPr>
        <w:widowControl/>
        <w:shd w:val="clear" w:color="auto" w:fill="FFFFFF"/>
        <w:ind w:firstLine="48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（二）依申请公开</w:t>
      </w:r>
    </w:p>
    <w:p>
      <w:pPr>
        <w:widowControl/>
        <w:shd w:val="clear" w:color="auto" w:fill="FFFFFF"/>
        <w:spacing w:before="225" w:line="580" w:lineRule="atLeast"/>
        <w:ind w:firstLine="482"/>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高度重视依申请公开工作，优化完善依申请公开接收、登记、办理、调查、答复等各个环节工作，准确适用《条例》，从严把握不予公开范围，规范提升依申请公开工作质量和效果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年，共办理依申请公开</w:t>
      </w:r>
      <w:r>
        <w:rPr>
          <w:rFonts w:hint="eastAsia" w:ascii="仿宋_GB2312" w:hAnsi="仿宋_GB2312" w:eastAsia="仿宋_GB2312" w:cs="仿宋_GB2312"/>
          <w:color w:val="000000"/>
          <w:kern w:val="0"/>
          <w:sz w:val="32"/>
          <w:szCs w:val="32"/>
          <w:lang w:val="en-US" w:eastAsia="zh-CN"/>
        </w:rPr>
        <w:t>17</w:t>
      </w:r>
      <w:r>
        <w:rPr>
          <w:rFonts w:hint="eastAsia" w:ascii="仿宋_GB2312" w:hAnsi="仿宋_GB2312" w:eastAsia="仿宋_GB2312" w:cs="仿宋_GB2312"/>
          <w:color w:val="000000"/>
          <w:kern w:val="0"/>
          <w:sz w:val="32"/>
          <w:szCs w:val="32"/>
        </w:rPr>
        <w:t>件，均依法依规向申请人进行回复，未因回复不当导致行政复议、行政诉讼等情况发生。</w:t>
      </w:r>
    </w:p>
    <w:p>
      <w:pPr>
        <w:widowControl/>
        <w:shd w:val="clear" w:color="auto" w:fill="FFFFFF"/>
        <w:ind w:firstLine="48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（三）政府信息管理</w:t>
      </w:r>
    </w:p>
    <w:p>
      <w:pPr>
        <w:widowControl/>
        <w:shd w:val="clear" w:color="auto" w:fill="FFFFFF"/>
        <w:spacing w:line="580" w:lineRule="exact"/>
        <w:ind w:firstLine="482"/>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严格落实网络意识形态责任制，进一步完善政府信息公开平台栏目设置、信息公开指南，</w:t>
      </w:r>
      <w:r>
        <w:rPr>
          <w:rFonts w:hint="eastAsia" w:ascii="仿宋_GB2312" w:hAnsi="仿宋_GB2312" w:eastAsia="仿宋_GB2312" w:cs="仿宋_GB2312"/>
          <w:color w:val="000000"/>
          <w:kern w:val="0"/>
          <w:sz w:val="32"/>
          <w:szCs w:val="32"/>
          <w:lang w:eastAsia="zh-CN"/>
        </w:rPr>
        <w:t>并</w:t>
      </w:r>
      <w:r>
        <w:rPr>
          <w:rFonts w:hint="eastAsia" w:ascii="仿宋_GB2312" w:hAnsi="仿宋_GB2312" w:eastAsia="仿宋_GB2312" w:cs="仿宋_GB2312"/>
          <w:color w:val="000000"/>
          <w:kern w:val="0"/>
          <w:sz w:val="32"/>
          <w:szCs w:val="32"/>
        </w:rPr>
        <w:t>按照“谁主管谁负责、谁发布谁负责”原则，</w:t>
      </w:r>
      <w:r>
        <w:rPr>
          <w:rFonts w:hint="eastAsia" w:ascii="仿宋_GB2312" w:hAnsi="仿宋_GB2312" w:eastAsia="仿宋_GB2312" w:cs="仿宋_GB2312"/>
          <w:color w:val="000000"/>
          <w:kern w:val="0"/>
          <w:sz w:val="32"/>
          <w:szCs w:val="32"/>
          <w:lang w:eastAsia="zh-CN"/>
        </w:rPr>
        <w:t>落实</w:t>
      </w:r>
      <w:r>
        <w:rPr>
          <w:rFonts w:hint="eastAsia" w:ascii="仿宋_GB2312" w:hAnsi="仿宋_GB2312" w:eastAsia="仿宋_GB2312" w:cs="仿宋_GB2312"/>
          <w:color w:val="000000"/>
          <w:kern w:val="0"/>
          <w:sz w:val="32"/>
          <w:szCs w:val="32"/>
        </w:rPr>
        <w:t>信息发布“三审三校”要求。</w:t>
      </w:r>
    </w:p>
    <w:p>
      <w:pPr>
        <w:widowControl/>
        <w:shd w:val="clear" w:color="auto" w:fill="FFFFFF"/>
        <w:ind w:firstLine="48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（四）平台建设</w:t>
      </w:r>
    </w:p>
    <w:p>
      <w:pPr>
        <w:widowControl/>
        <w:shd w:val="clear" w:color="auto" w:fill="FFFFFF"/>
        <w:spacing w:line="580" w:lineRule="exact"/>
        <w:ind w:firstLine="482"/>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政府网站与政务移动客户端适老化和无障碍改造均已完成，并按要求更新完善公开制度、公开指南等内容，保证网站政府信息的时效性、权威性和便捷性。</w:t>
      </w:r>
    </w:p>
    <w:p>
      <w:pPr>
        <w:widowControl/>
        <w:shd w:val="clear" w:color="auto" w:fill="FFFFFF"/>
        <w:ind w:firstLine="48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（五）监督保障</w:t>
      </w:r>
    </w:p>
    <w:p>
      <w:pPr>
        <w:shd w:val="clear" w:color="auto" w:fill="FFFFFF"/>
        <w:spacing w:before="225" w:line="580" w:lineRule="exact"/>
        <w:ind w:firstLine="482"/>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委</w:t>
      </w:r>
      <w:r>
        <w:rPr>
          <w:rFonts w:hint="eastAsia" w:ascii="仿宋_GB2312" w:hAnsi="仿宋_GB2312" w:eastAsia="仿宋_GB2312" w:cs="仿宋_GB2312"/>
          <w:color w:val="000000"/>
          <w:kern w:val="0"/>
          <w:sz w:val="32"/>
          <w:szCs w:val="32"/>
        </w:rPr>
        <w:t>领导高度重视政务公开工作，明确了一名</w:t>
      </w:r>
      <w:r>
        <w:rPr>
          <w:rFonts w:hint="eastAsia" w:ascii="仿宋_GB2312" w:hAnsi="仿宋_GB2312" w:eastAsia="仿宋_GB2312" w:cs="仿宋_GB2312"/>
          <w:color w:val="000000"/>
          <w:kern w:val="0"/>
          <w:sz w:val="32"/>
          <w:szCs w:val="32"/>
          <w:lang w:eastAsia="zh-CN"/>
        </w:rPr>
        <w:t>委</w:t>
      </w:r>
      <w:r>
        <w:rPr>
          <w:rFonts w:hint="eastAsia" w:ascii="仿宋_GB2312" w:hAnsi="仿宋_GB2312" w:eastAsia="仿宋_GB2312" w:cs="仿宋_GB2312"/>
          <w:color w:val="000000"/>
          <w:kern w:val="0"/>
          <w:sz w:val="32"/>
          <w:szCs w:val="32"/>
        </w:rPr>
        <w:t>领导分管政务公开工作，</w:t>
      </w:r>
      <w:r>
        <w:rPr>
          <w:rFonts w:hint="eastAsia" w:ascii="仿宋_GB2312" w:hAnsi="仿宋_GB2312" w:eastAsia="仿宋_GB2312" w:cs="仿宋_GB2312"/>
          <w:color w:val="000000"/>
          <w:kern w:val="0"/>
          <w:sz w:val="32"/>
          <w:szCs w:val="32"/>
          <w:lang w:eastAsia="zh-CN"/>
        </w:rPr>
        <w:t>并</w:t>
      </w:r>
      <w:r>
        <w:rPr>
          <w:rFonts w:hint="eastAsia" w:ascii="仿宋_GB2312" w:hAnsi="仿宋_GB2312" w:eastAsia="仿宋_GB2312" w:cs="仿宋_GB2312"/>
          <w:color w:val="000000"/>
          <w:kern w:val="0"/>
          <w:sz w:val="32"/>
          <w:szCs w:val="32"/>
        </w:rPr>
        <w:t>将政务公开职责落实到具体科室、具体人员，安排专人负责政务网站和新媒体平台内容的更新，切实保障政务信息公开工作的有序高效运转。</w:t>
      </w:r>
    </w:p>
    <w:p>
      <w:pPr>
        <w:keepNext w:val="0"/>
        <w:keepLines w:val="0"/>
        <w:pageBreakBefore w:val="0"/>
        <w:widowControl/>
        <w:shd w:val="clear" w:color="auto" w:fill="FFFFFF"/>
        <w:kinsoku/>
        <w:wordWrap/>
        <w:overflowPunct/>
        <w:topLinePunct w:val="0"/>
        <w:autoSpaceDE/>
        <w:autoSpaceDN/>
        <w:bidi w:val="0"/>
        <w:adjustRightInd/>
        <w:snapToGrid/>
        <w:spacing w:before="225" w:after="225" w:line="580" w:lineRule="atLeas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二、主动公开政府信息情况</w:t>
      </w:r>
    </w:p>
    <w:tbl>
      <w:tblPr>
        <w:tblStyle w:val="3"/>
        <w:tblW w:w="8145" w:type="dxa"/>
        <w:jc w:val="center"/>
        <w:shd w:val="clear" w:color="auto" w:fill="FFFFFF"/>
        <w:tblLayout w:type="autofit"/>
        <w:tblCellMar>
          <w:top w:w="15" w:type="dxa"/>
          <w:left w:w="15" w:type="dxa"/>
          <w:bottom w:w="15" w:type="dxa"/>
          <w:right w:w="15" w:type="dxa"/>
        </w:tblCellMar>
      </w:tblPr>
      <w:tblGrid>
        <w:gridCol w:w="2040"/>
        <w:gridCol w:w="2040"/>
        <w:gridCol w:w="2025"/>
        <w:gridCol w:w="2040"/>
      </w:tblGrid>
      <w:tr>
        <w:tblPrEx>
          <w:tblCellMar>
            <w:top w:w="15" w:type="dxa"/>
            <w:left w:w="15" w:type="dxa"/>
            <w:bottom w:w="15" w:type="dxa"/>
            <w:right w:w="15" w:type="dxa"/>
          </w:tblCellMar>
        </w:tblPrEx>
        <w:trPr>
          <w:trHeight w:val="495" w:hRule="atLeast"/>
          <w:jc w:val="center"/>
        </w:trPr>
        <w:tc>
          <w:tcPr>
            <w:tcW w:w="8145" w:type="dxa"/>
            <w:gridSpan w:val="4"/>
            <w:tcBorders>
              <w:top w:val="single" w:color="000000" w:sz="8" w:space="0"/>
              <w:left w:val="single" w:color="000000" w:sz="8" w:space="0"/>
              <w:bottom w:val="single" w:color="000000" w:sz="8" w:space="0"/>
              <w:right w:val="single" w:color="000000" w:sz="8" w:space="0"/>
            </w:tcBorders>
            <w:shd w:val="clear" w:color="auto" w:fill="C6D9F1"/>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第二十条第（一）项</w:t>
            </w:r>
          </w:p>
        </w:tc>
      </w:tr>
      <w:tr>
        <w:tblPrEx>
          <w:shd w:val="clear" w:color="auto" w:fill="FFFFFF"/>
          <w:tblCellMar>
            <w:top w:w="15" w:type="dxa"/>
            <w:left w:w="15" w:type="dxa"/>
            <w:bottom w:w="15" w:type="dxa"/>
            <w:right w:w="15" w:type="dxa"/>
          </w:tblCellMar>
        </w:tblPrEx>
        <w:trPr>
          <w:trHeight w:val="885" w:hRule="atLeast"/>
          <w:jc w:val="center"/>
        </w:trPr>
        <w:tc>
          <w:tcPr>
            <w:tcW w:w="2040" w:type="dxa"/>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信息内容</w:t>
            </w:r>
          </w:p>
        </w:tc>
        <w:tc>
          <w:tcPr>
            <w:tcW w:w="2040" w:type="dxa"/>
            <w:tcBorders>
              <w:top w:val="single" w:color="auto" w:sz="8" w:space="0"/>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本年制发件数</w:t>
            </w:r>
          </w:p>
        </w:tc>
        <w:tc>
          <w:tcPr>
            <w:tcW w:w="2025" w:type="dxa"/>
            <w:tcBorders>
              <w:top w:val="single" w:color="auto" w:sz="8" w:space="0"/>
              <w:left w:val="nil"/>
              <w:bottom w:val="single" w:color="auto" w:sz="8" w:space="0"/>
              <w:right w:val="single" w:color="auto" w:sz="8" w:space="0"/>
            </w:tcBorders>
            <w:shd w:val="clear" w:color="auto" w:fill="E6F4FF"/>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本年废止件数</w:t>
            </w:r>
          </w:p>
        </w:tc>
        <w:tc>
          <w:tcPr>
            <w:tcW w:w="2040" w:type="dxa"/>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现行有效件数</w:t>
            </w:r>
          </w:p>
        </w:tc>
      </w:tr>
      <w:tr>
        <w:tblPrEx>
          <w:shd w:val="clear" w:color="auto" w:fill="FFFFFF"/>
          <w:tblCellMar>
            <w:top w:w="15" w:type="dxa"/>
            <w:left w:w="15" w:type="dxa"/>
            <w:bottom w:w="15" w:type="dxa"/>
            <w:right w:w="15" w:type="dxa"/>
          </w:tblCellMar>
        </w:tblPrEx>
        <w:trPr>
          <w:trHeight w:val="525" w:hRule="atLeast"/>
          <w:jc w:val="center"/>
        </w:trPr>
        <w:tc>
          <w:tcPr>
            <w:tcW w:w="2040" w:type="dxa"/>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规章</w:t>
            </w:r>
          </w:p>
        </w:tc>
        <w:tc>
          <w:tcPr>
            <w:tcW w:w="2040" w:type="dxa"/>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333333"/>
                <w:kern w:val="0"/>
                <w:sz w:val="24"/>
                <w:szCs w:val="24"/>
              </w:rPr>
              <w:t>0</w:t>
            </w:r>
          </w:p>
        </w:tc>
        <w:tc>
          <w:tcPr>
            <w:tcW w:w="2025" w:type="dxa"/>
            <w:tcBorders>
              <w:top w:val="nil"/>
              <w:left w:val="nil"/>
              <w:bottom w:val="single" w:color="auto" w:sz="8" w:space="0"/>
              <w:right w:val="single" w:color="auto" w:sz="8" w:space="0"/>
            </w:tcBorders>
            <w:shd w:val="clear" w:color="auto" w:fill="E6F4FF"/>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333333"/>
                <w:kern w:val="0"/>
                <w:sz w:val="24"/>
                <w:szCs w:val="24"/>
              </w:rPr>
              <w:t>0</w:t>
            </w:r>
          </w:p>
        </w:tc>
        <w:tc>
          <w:tcPr>
            <w:tcW w:w="2040" w:type="dxa"/>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333333"/>
                <w:kern w:val="0"/>
                <w:sz w:val="24"/>
                <w:szCs w:val="24"/>
              </w:rPr>
              <w:t>0</w:t>
            </w:r>
          </w:p>
        </w:tc>
      </w:tr>
      <w:tr>
        <w:tblPrEx>
          <w:shd w:val="clear" w:color="auto" w:fill="FFFFFF"/>
          <w:tblCellMar>
            <w:top w:w="15" w:type="dxa"/>
            <w:left w:w="15" w:type="dxa"/>
            <w:bottom w:w="15" w:type="dxa"/>
            <w:right w:w="15" w:type="dxa"/>
          </w:tblCellMar>
        </w:tblPrEx>
        <w:trPr>
          <w:trHeight w:val="465" w:hRule="atLeast"/>
          <w:jc w:val="center"/>
        </w:trPr>
        <w:tc>
          <w:tcPr>
            <w:tcW w:w="2040" w:type="dxa"/>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行政规范性文件</w:t>
            </w:r>
          </w:p>
        </w:tc>
        <w:tc>
          <w:tcPr>
            <w:tcW w:w="2040" w:type="dxa"/>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hint="eastAsia" w:ascii="微软雅黑" w:hAnsi="微软雅黑" w:eastAsia="微软雅黑" w:cs="宋体"/>
                <w:color w:val="000000"/>
                <w:kern w:val="0"/>
                <w:sz w:val="27"/>
                <w:szCs w:val="27"/>
                <w:lang w:eastAsia="zh-CN"/>
              </w:rPr>
            </w:pPr>
            <w:r>
              <w:rPr>
                <w:rFonts w:hint="eastAsia" w:ascii="微软雅黑" w:hAnsi="微软雅黑" w:eastAsia="微软雅黑" w:cs="宋体"/>
                <w:color w:val="000000"/>
                <w:kern w:val="0"/>
                <w:sz w:val="27"/>
                <w:szCs w:val="27"/>
                <w:lang w:val="en-US" w:eastAsia="zh-CN"/>
              </w:rPr>
              <w:t>0</w:t>
            </w:r>
          </w:p>
        </w:tc>
        <w:tc>
          <w:tcPr>
            <w:tcW w:w="2025" w:type="dxa"/>
            <w:tcBorders>
              <w:top w:val="nil"/>
              <w:left w:val="nil"/>
              <w:bottom w:val="single" w:color="auto" w:sz="8" w:space="0"/>
              <w:right w:val="single" w:color="auto" w:sz="8" w:space="0"/>
            </w:tcBorders>
            <w:shd w:val="clear" w:color="auto" w:fill="E6F4FF"/>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333333"/>
                <w:kern w:val="0"/>
                <w:sz w:val="24"/>
                <w:szCs w:val="24"/>
              </w:rPr>
              <w:t>0</w:t>
            </w:r>
          </w:p>
        </w:tc>
        <w:tc>
          <w:tcPr>
            <w:tcW w:w="2040" w:type="dxa"/>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5</w:t>
            </w:r>
          </w:p>
        </w:tc>
      </w:tr>
      <w:tr>
        <w:tblPrEx>
          <w:shd w:val="clear" w:color="auto" w:fill="FFFFFF"/>
          <w:tblCellMar>
            <w:top w:w="15" w:type="dxa"/>
            <w:left w:w="15" w:type="dxa"/>
            <w:bottom w:w="15" w:type="dxa"/>
            <w:right w:w="15" w:type="dxa"/>
          </w:tblCellMar>
        </w:tblPrEx>
        <w:trPr>
          <w:trHeight w:val="480" w:hRule="atLeast"/>
          <w:jc w:val="center"/>
        </w:trPr>
        <w:tc>
          <w:tcPr>
            <w:tcW w:w="8145" w:type="dxa"/>
            <w:gridSpan w:val="4"/>
            <w:tcBorders>
              <w:top w:val="nil"/>
              <w:left w:val="single" w:color="auto" w:sz="8" w:space="0"/>
              <w:bottom w:val="single" w:color="auto" w:sz="8" w:space="0"/>
              <w:right w:val="single" w:color="auto" w:sz="8" w:space="0"/>
            </w:tcBorders>
            <w:shd w:val="clear" w:color="auto" w:fill="C6D9F1"/>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第二十条第（五）项</w:t>
            </w:r>
          </w:p>
        </w:tc>
      </w:tr>
      <w:tr>
        <w:tblPrEx>
          <w:shd w:val="clear" w:color="auto" w:fill="FFFFFF"/>
          <w:tblCellMar>
            <w:top w:w="15" w:type="dxa"/>
            <w:left w:w="15" w:type="dxa"/>
            <w:bottom w:w="15" w:type="dxa"/>
            <w:right w:w="15" w:type="dxa"/>
          </w:tblCellMar>
        </w:tblPrEx>
        <w:trPr>
          <w:trHeight w:val="630" w:hRule="atLeast"/>
          <w:jc w:val="center"/>
        </w:trPr>
        <w:tc>
          <w:tcPr>
            <w:tcW w:w="2040" w:type="dxa"/>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信息内容</w:t>
            </w:r>
          </w:p>
        </w:tc>
        <w:tc>
          <w:tcPr>
            <w:tcW w:w="6105" w:type="dxa"/>
            <w:gridSpan w:val="3"/>
            <w:tcBorders>
              <w:top w:val="single" w:color="auto" w:sz="8" w:space="0"/>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本年处理决定数量</w:t>
            </w:r>
          </w:p>
        </w:tc>
      </w:tr>
      <w:tr>
        <w:tblPrEx>
          <w:shd w:val="clear" w:color="auto" w:fill="FFFFFF"/>
          <w:tblCellMar>
            <w:top w:w="15" w:type="dxa"/>
            <w:left w:w="15" w:type="dxa"/>
            <w:bottom w:w="15" w:type="dxa"/>
            <w:right w:w="15" w:type="dxa"/>
          </w:tblCellMar>
        </w:tblPrEx>
        <w:trPr>
          <w:trHeight w:val="525" w:hRule="atLeast"/>
          <w:jc w:val="center"/>
        </w:trPr>
        <w:tc>
          <w:tcPr>
            <w:tcW w:w="2040" w:type="dxa"/>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行政许可</w:t>
            </w:r>
          </w:p>
        </w:tc>
        <w:tc>
          <w:tcPr>
            <w:tcW w:w="6105" w:type="dxa"/>
            <w:gridSpan w:val="3"/>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hint="default" w:ascii="微软雅黑" w:hAnsi="微软雅黑" w:eastAsia="微软雅黑" w:cs="宋体"/>
                <w:color w:val="000000"/>
                <w:kern w:val="0"/>
                <w:sz w:val="27"/>
                <w:szCs w:val="27"/>
                <w:lang w:val="en-US" w:eastAsia="zh-CN"/>
              </w:rPr>
            </w:pPr>
            <w:r>
              <w:rPr>
                <w:rFonts w:hint="eastAsia" w:ascii="微软雅黑" w:hAnsi="微软雅黑" w:eastAsia="微软雅黑" w:cs="宋体"/>
                <w:color w:val="000000"/>
                <w:kern w:val="0"/>
                <w:sz w:val="27"/>
                <w:szCs w:val="27"/>
                <w:lang w:val="en-US" w:eastAsia="zh-CN"/>
              </w:rPr>
              <w:t>14</w:t>
            </w:r>
          </w:p>
        </w:tc>
      </w:tr>
      <w:tr>
        <w:tblPrEx>
          <w:shd w:val="clear" w:color="auto" w:fill="FFFFFF"/>
          <w:tblCellMar>
            <w:top w:w="15" w:type="dxa"/>
            <w:left w:w="15" w:type="dxa"/>
            <w:bottom w:w="15" w:type="dxa"/>
            <w:right w:w="15" w:type="dxa"/>
          </w:tblCellMar>
        </w:tblPrEx>
        <w:trPr>
          <w:trHeight w:val="555" w:hRule="atLeast"/>
          <w:jc w:val="center"/>
        </w:trPr>
        <w:tc>
          <w:tcPr>
            <w:tcW w:w="8145" w:type="dxa"/>
            <w:gridSpan w:val="4"/>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第二十条第（六）项</w:t>
            </w:r>
          </w:p>
        </w:tc>
      </w:tr>
      <w:tr>
        <w:tblPrEx>
          <w:shd w:val="clear" w:color="auto" w:fill="FFFFFF"/>
          <w:tblCellMar>
            <w:top w:w="15" w:type="dxa"/>
            <w:left w:w="15" w:type="dxa"/>
            <w:bottom w:w="15" w:type="dxa"/>
            <w:right w:w="15" w:type="dxa"/>
          </w:tblCellMar>
        </w:tblPrEx>
        <w:trPr>
          <w:trHeight w:val="405" w:hRule="atLeast"/>
          <w:jc w:val="center"/>
        </w:trPr>
        <w:tc>
          <w:tcPr>
            <w:tcW w:w="2040" w:type="dxa"/>
            <w:tcBorders>
              <w:top w:val="nil"/>
              <w:left w:val="single" w:color="auto" w:sz="8" w:space="0"/>
              <w:bottom w:val="single" w:color="auto" w:sz="8" w:space="0"/>
              <w:right w:val="single" w:color="auto" w:sz="8" w:space="0"/>
            </w:tcBorders>
            <w:shd w:val="clear" w:color="auto" w:fill="C6D9F1"/>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信息内容</w:t>
            </w:r>
          </w:p>
        </w:tc>
        <w:tc>
          <w:tcPr>
            <w:tcW w:w="6105" w:type="dxa"/>
            <w:gridSpan w:val="3"/>
            <w:tcBorders>
              <w:top w:val="nil"/>
              <w:left w:val="nil"/>
              <w:bottom w:val="single" w:color="auto" w:sz="8" w:space="0"/>
              <w:right w:val="single" w:color="auto" w:sz="8" w:space="0"/>
            </w:tcBorders>
            <w:shd w:val="clear" w:color="auto" w:fill="C6D9F1"/>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本年处理决定数量</w:t>
            </w:r>
          </w:p>
        </w:tc>
      </w:tr>
      <w:tr>
        <w:tblPrEx>
          <w:shd w:val="clear" w:color="auto" w:fill="FFFFFF"/>
          <w:tblCellMar>
            <w:top w:w="15" w:type="dxa"/>
            <w:left w:w="15" w:type="dxa"/>
            <w:bottom w:w="15" w:type="dxa"/>
            <w:right w:w="15" w:type="dxa"/>
          </w:tblCellMar>
        </w:tblPrEx>
        <w:trPr>
          <w:trHeight w:val="630" w:hRule="atLeast"/>
          <w:jc w:val="center"/>
        </w:trPr>
        <w:tc>
          <w:tcPr>
            <w:tcW w:w="2040" w:type="dxa"/>
            <w:tcBorders>
              <w:top w:val="nil"/>
              <w:left w:val="single" w:color="auto" w:sz="8" w:space="0"/>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行政处罚</w:t>
            </w:r>
          </w:p>
        </w:tc>
        <w:tc>
          <w:tcPr>
            <w:tcW w:w="6105" w:type="dxa"/>
            <w:gridSpan w:val="3"/>
            <w:tcBorders>
              <w:top w:val="nil"/>
              <w:left w:val="nil"/>
              <w:bottom w:val="single" w:color="auto" w:sz="8"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hint="default" w:ascii="微软雅黑" w:hAnsi="微软雅黑" w:eastAsia="微软雅黑" w:cs="宋体"/>
                <w:color w:val="000000"/>
                <w:kern w:val="0"/>
                <w:sz w:val="27"/>
                <w:szCs w:val="27"/>
                <w:lang w:val="en-US" w:eastAsia="zh-CN"/>
              </w:rPr>
            </w:pPr>
            <w:r>
              <w:rPr>
                <w:rFonts w:hint="eastAsia" w:ascii="微软雅黑" w:hAnsi="微软雅黑" w:eastAsia="微软雅黑" w:cs="宋体"/>
                <w:color w:val="000000"/>
                <w:kern w:val="0"/>
                <w:sz w:val="27"/>
                <w:szCs w:val="27"/>
                <w:lang w:val="en-US" w:eastAsia="zh-CN"/>
              </w:rPr>
              <w:t>170</w:t>
            </w:r>
          </w:p>
        </w:tc>
      </w:tr>
      <w:tr>
        <w:tblPrEx>
          <w:shd w:val="clear" w:color="auto" w:fill="FFFFFF"/>
          <w:tblCellMar>
            <w:top w:w="15" w:type="dxa"/>
            <w:left w:w="15" w:type="dxa"/>
            <w:bottom w:w="15" w:type="dxa"/>
            <w:right w:w="15" w:type="dxa"/>
          </w:tblCellMar>
        </w:tblPrEx>
        <w:trPr>
          <w:trHeight w:val="435" w:hRule="atLeast"/>
          <w:jc w:val="center"/>
        </w:trPr>
        <w:tc>
          <w:tcPr>
            <w:tcW w:w="2040" w:type="dxa"/>
            <w:tcBorders>
              <w:top w:val="nil"/>
              <w:left w:val="single" w:color="auto" w:sz="8" w:space="0"/>
              <w:bottom w:val="single" w:color="auto" w:sz="4"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宋体" w:hAnsi="宋体" w:eastAsia="宋体" w:cs="宋体"/>
                <w:b/>
                <w:bCs/>
                <w:color w:val="333333"/>
                <w:kern w:val="0"/>
                <w:sz w:val="18"/>
                <w:szCs w:val="18"/>
              </w:rPr>
              <w:t>行政强制</w:t>
            </w:r>
          </w:p>
        </w:tc>
        <w:tc>
          <w:tcPr>
            <w:tcW w:w="6105" w:type="dxa"/>
            <w:gridSpan w:val="3"/>
            <w:tcBorders>
              <w:top w:val="nil"/>
              <w:left w:val="nil"/>
              <w:bottom w:val="single" w:color="auto" w:sz="4" w:space="0"/>
              <w:right w:val="single" w:color="auto" w:sz="8"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ascii="微软雅黑" w:hAnsi="微软雅黑" w:eastAsia="微软雅黑" w:cs="宋体"/>
                <w:color w:val="000000"/>
                <w:kern w:val="0"/>
                <w:sz w:val="27"/>
                <w:szCs w:val="27"/>
              </w:rPr>
            </w:pPr>
            <w:r>
              <w:rPr>
                <w:rFonts w:hint="eastAsia" w:ascii="微软雅黑" w:hAnsi="微软雅黑" w:eastAsia="微软雅黑" w:cs="宋体"/>
                <w:color w:val="333333"/>
                <w:kern w:val="0"/>
                <w:sz w:val="24"/>
                <w:szCs w:val="24"/>
              </w:rPr>
              <w:t>0</w:t>
            </w:r>
          </w:p>
        </w:tc>
      </w:tr>
      <w:tr>
        <w:tblPrEx>
          <w:shd w:val="clear" w:color="auto" w:fill="FFFFFF"/>
          <w:tblCellMar>
            <w:top w:w="15" w:type="dxa"/>
            <w:left w:w="15" w:type="dxa"/>
            <w:bottom w:w="15" w:type="dxa"/>
            <w:right w:w="15" w:type="dxa"/>
          </w:tblCellMar>
        </w:tblPrEx>
        <w:trPr>
          <w:trHeight w:val="435" w:hRule="atLeast"/>
          <w:jc w:val="center"/>
        </w:trPr>
        <w:tc>
          <w:tcPr>
            <w:tcW w:w="8145" w:type="dxa"/>
            <w:gridSpan w:val="4"/>
            <w:tcBorders>
              <w:top w:val="single" w:color="auto" w:sz="4" w:space="0"/>
              <w:left w:val="single" w:color="auto" w:sz="4" w:space="0"/>
              <w:bottom w:val="single" w:color="auto" w:sz="4" w:space="0"/>
              <w:right w:val="single" w:color="auto" w:sz="4"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hint="eastAsia" w:ascii="微软雅黑" w:hAnsi="微软雅黑" w:eastAsia="微软雅黑" w:cs="宋体"/>
                <w:color w:val="333333"/>
                <w:kern w:val="0"/>
                <w:sz w:val="24"/>
                <w:szCs w:val="24"/>
              </w:rPr>
            </w:pPr>
            <w:r>
              <w:rPr>
                <w:rFonts w:hint="eastAsia" w:ascii="宋体" w:hAnsi="宋体" w:eastAsia="宋体" w:cs="宋体"/>
                <w:b/>
                <w:bCs/>
                <w:color w:val="auto"/>
                <w:kern w:val="0"/>
                <w:sz w:val="18"/>
                <w:szCs w:val="18"/>
                <w:highlight w:val="none"/>
                <w:lang w:val="en-US" w:eastAsia="zh-CN"/>
              </w:rPr>
              <w:t>第二十条第（八）项</w:t>
            </w:r>
          </w:p>
        </w:tc>
      </w:tr>
      <w:tr>
        <w:tblPrEx>
          <w:shd w:val="clear" w:color="auto" w:fill="FFFFFF"/>
          <w:tblCellMar>
            <w:top w:w="15" w:type="dxa"/>
            <w:left w:w="15" w:type="dxa"/>
            <w:bottom w:w="15" w:type="dxa"/>
            <w:right w:w="15" w:type="dxa"/>
          </w:tblCellMar>
        </w:tblPrEx>
        <w:trPr>
          <w:trHeight w:val="435" w:hRule="atLeast"/>
          <w:jc w:val="center"/>
        </w:trPr>
        <w:tc>
          <w:tcPr>
            <w:tcW w:w="2040" w:type="dxa"/>
            <w:tcBorders>
              <w:top w:val="single" w:color="auto" w:sz="4" w:space="0"/>
              <w:left w:val="single" w:color="auto" w:sz="4" w:space="0"/>
              <w:bottom w:val="single" w:color="auto" w:sz="4" w:space="0"/>
              <w:right w:val="single" w:color="auto" w:sz="4" w:space="0"/>
            </w:tcBorders>
            <w:shd w:val="clear" w:color="auto" w:fill="E6F4FF"/>
            <w:noWrap/>
            <w:tcMar>
              <w:top w:w="0" w:type="dxa"/>
              <w:left w:w="105" w:type="dxa"/>
              <w:bottom w:w="0" w:type="dxa"/>
              <w:right w:w="105" w:type="dxa"/>
            </w:tcMar>
            <w:vAlign w:val="center"/>
          </w:tcPr>
          <w:p>
            <w:pPr>
              <w:keepNext w:val="0"/>
              <w:keepLines w:val="0"/>
              <w:widowControl/>
              <w:suppressLineNumbers w:val="0"/>
              <w:jc w:val="center"/>
              <w:rPr>
                <w:rFonts w:hint="default" w:ascii="宋体" w:hAnsi="宋体" w:eastAsia="宋体" w:cs="宋体"/>
                <w:b/>
                <w:bCs/>
                <w:color w:val="333333"/>
                <w:kern w:val="0"/>
                <w:sz w:val="18"/>
                <w:szCs w:val="18"/>
                <w:lang w:val="en-US"/>
              </w:rPr>
            </w:pPr>
            <w:r>
              <w:rPr>
                <w:rFonts w:hint="eastAsia" w:ascii="宋体" w:hAnsi="宋体" w:eastAsia="宋体" w:cs="宋体"/>
                <w:b/>
                <w:bCs/>
                <w:color w:val="333333"/>
                <w:kern w:val="0"/>
                <w:sz w:val="18"/>
                <w:szCs w:val="18"/>
                <w:lang w:val="en-US" w:eastAsia="zh-CN"/>
              </w:rPr>
              <w:t>信息内容</w:t>
            </w:r>
          </w:p>
        </w:tc>
        <w:tc>
          <w:tcPr>
            <w:tcW w:w="6105" w:type="dxa"/>
            <w:gridSpan w:val="3"/>
            <w:tcBorders>
              <w:top w:val="single" w:color="auto" w:sz="4" w:space="0"/>
              <w:left w:val="single" w:color="auto" w:sz="4" w:space="0"/>
              <w:bottom w:val="single" w:color="auto" w:sz="4" w:space="0"/>
              <w:right w:val="single" w:color="auto" w:sz="4" w:space="0"/>
            </w:tcBorders>
            <w:shd w:val="clear" w:color="auto" w:fill="E6F4FF"/>
            <w:noWrap/>
            <w:tcMar>
              <w:top w:w="0" w:type="dxa"/>
              <w:left w:w="105" w:type="dxa"/>
              <w:bottom w:w="0" w:type="dxa"/>
              <w:right w:w="105" w:type="dxa"/>
            </w:tcMar>
            <w:vAlign w:val="center"/>
          </w:tcPr>
          <w:p>
            <w:pPr>
              <w:keepNext w:val="0"/>
              <w:keepLines w:val="0"/>
              <w:widowControl/>
              <w:suppressLineNumbers w:val="0"/>
              <w:jc w:val="center"/>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18"/>
                <w:szCs w:val="18"/>
                <w:lang w:val="en-US" w:eastAsia="zh-CN"/>
              </w:rPr>
              <w:t>本年收费金额（单位：万元）</w:t>
            </w:r>
          </w:p>
        </w:tc>
      </w:tr>
      <w:tr>
        <w:tblPrEx>
          <w:tblCellMar>
            <w:top w:w="15" w:type="dxa"/>
            <w:left w:w="15" w:type="dxa"/>
            <w:bottom w:w="15" w:type="dxa"/>
            <w:right w:w="15" w:type="dxa"/>
          </w:tblCellMar>
        </w:tblPrEx>
        <w:trPr>
          <w:trHeight w:val="847" w:hRule="atLeast"/>
          <w:jc w:val="center"/>
        </w:trPr>
        <w:tc>
          <w:tcPr>
            <w:tcW w:w="2040" w:type="dxa"/>
            <w:tcBorders>
              <w:top w:val="single" w:color="auto" w:sz="4" w:space="0"/>
              <w:left w:val="single" w:color="auto" w:sz="4" w:space="0"/>
              <w:bottom w:val="single" w:color="auto" w:sz="4" w:space="0"/>
              <w:right w:val="single" w:color="auto" w:sz="4" w:space="0"/>
            </w:tcBorders>
            <w:shd w:val="clear" w:color="auto" w:fill="E6F4FF"/>
            <w:noWrap/>
            <w:tcMar>
              <w:top w:w="0" w:type="dxa"/>
              <w:left w:w="105" w:type="dxa"/>
              <w:bottom w:w="0" w:type="dxa"/>
              <w:right w:w="105" w:type="dxa"/>
            </w:tcMar>
            <w:vAlign w:val="center"/>
          </w:tcPr>
          <w:p>
            <w:pPr>
              <w:keepNext w:val="0"/>
              <w:keepLines w:val="0"/>
              <w:widowControl/>
              <w:suppressLineNumbers w:val="0"/>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lang w:val="en-US" w:eastAsia="zh-CN"/>
              </w:rPr>
              <w:t>行政事业性收费</w:t>
            </w:r>
          </w:p>
        </w:tc>
        <w:tc>
          <w:tcPr>
            <w:tcW w:w="6105" w:type="dxa"/>
            <w:gridSpan w:val="3"/>
            <w:tcBorders>
              <w:top w:val="single" w:color="auto" w:sz="4" w:space="0"/>
              <w:left w:val="single" w:color="auto" w:sz="4" w:space="0"/>
              <w:bottom w:val="single" w:color="auto" w:sz="4" w:space="0"/>
              <w:right w:val="single" w:color="auto" w:sz="4" w:space="0"/>
            </w:tcBorders>
            <w:shd w:val="clear" w:color="auto" w:fill="E6F4FF"/>
            <w:noWrap/>
            <w:tcMar>
              <w:top w:w="0" w:type="dxa"/>
              <w:left w:w="105" w:type="dxa"/>
              <w:bottom w:w="0" w:type="dxa"/>
              <w:right w:w="105" w:type="dxa"/>
            </w:tcMar>
            <w:vAlign w:val="center"/>
          </w:tcPr>
          <w:p>
            <w:pPr>
              <w:widowControl/>
              <w:spacing w:before="100" w:after="100"/>
              <w:jc w:val="center"/>
              <w:textAlignment w:val="center"/>
              <w:rPr>
                <w:rFonts w:hint="default" w:ascii="微软雅黑" w:hAnsi="微软雅黑" w:eastAsia="微软雅黑" w:cs="宋体"/>
                <w:color w:val="333333"/>
                <w:kern w:val="0"/>
                <w:sz w:val="24"/>
                <w:szCs w:val="24"/>
                <w:lang w:val="en-US" w:eastAsia="zh-CN"/>
              </w:rPr>
            </w:pPr>
            <w:r>
              <w:rPr>
                <w:rFonts w:hint="eastAsia" w:ascii="微软雅黑" w:hAnsi="微软雅黑" w:eastAsia="微软雅黑" w:cs="宋体"/>
                <w:color w:val="000000"/>
                <w:kern w:val="0"/>
                <w:sz w:val="27"/>
                <w:szCs w:val="27"/>
                <w:lang w:val="en-US" w:eastAsia="zh-CN"/>
              </w:rPr>
              <w:t>2.25</w:t>
            </w:r>
          </w:p>
        </w:tc>
      </w:tr>
    </w:tbl>
    <w:p>
      <w:pPr>
        <w:keepNext w:val="0"/>
        <w:keepLines w:val="0"/>
        <w:pageBreakBefore w:val="0"/>
        <w:widowControl/>
        <w:shd w:val="clear" w:color="auto" w:fill="FFFFFF"/>
        <w:kinsoku/>
        <w:wordWrap/>
        <w:overflowPunct/>
        <w:topLinePunct w:val="0"/>
        <w:autoSpaceDE/>
        <w:autoSpaceDN/>
        <w:bidi w:val="0"/>
        <w:adjustRightInd/>
        <w:snapToGrid/>
        <w:spacing w:before="225" w:after="225" w:line="580" w:lineRule="atLeas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三、收到和处理政府信息公开申请情况</w:t>
      </w:r>
    </w:p>
    <w:tbl>
      <w:tblPr>
        <w:tblStyle w:val="3"/>
        <w:tblW w:w="9071" w:type="dxa"/>
        <w:jc w:val="center"/>
        <w:tblLayout w:type="autofit"/>
        <w:tblCellMar>
          <w:top w:w="15" w:type="dxa"/>
          <w:left w:w="15" w:type="dxa"/>
          <w:bottom w:w="15" w:type="dxa"/>
          <w:right w:w="15" w:type="dxa"/>
        </w:tblCellMar>
      </w:tblPr>
      <w:tblGrid>
        <w:gridCol w:w="666"/>
        <w:gridCol w:w="816"/>
        <w:gridCol w:w="2149"/>
        <w:gridCol w:w="802"/>
        <w:gridCol w:w="745"/>
        <w:gridCol w:w="745"/>
        <w:gridCol w:w="802"/>
        <w:gridCol w:w="957"/>
        <w:gridCol w:w="703"/>
        <w:gridCol w:w="686"/>
      </w:tblGrid>
      <w:tr>
        <w:tblPrEx>
          <w:tblCellMar>
            <w:top w:w="15" w:type="dxa"/>
            <w:left w:w="15" w:type="dxa"/>
            <w:bottom w:w="15" w:type="dxa"/>
            <w:right w:w="15" w:type="dxa"/>
          </w:tblCellMar>
        </w:tblPrEx>
        <w:trPr>
          <w:jc w:val="center"/>
        </w:trPr>
        <w:tc>
          <w:tcPr>
            <w:tcW w:w="3631"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（本列数据的勾稽关系为：第一项加第二项之和，等于第三项加第四项之和）</w:t>
            </w:r>
          </w:p>
        </w:tc>
        <w:tc>
          <w:tcPr>
            <w:tcW w:w="5440"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02"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自然人</w:t>
            </w:r>
          </w:p>
        </w:tc>
        <w:tc>
          <w:tcPr>
            <w:tcW w:w="3952"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法人或其他组织</w:t>
            </w:r>
          </w:p>
        </w:tc>
        <w:tc>
          <w:tcPr>
            <w:tcW w:w="686"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0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商业企业</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科研机构</w:t>
            </w:r>
          </w:p>
        </w:tc>
        <w:tc>
          <w:tcPr>
            <w:tcW w:w="8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社会公益组织</w:t>
            </w:r>
          </w:p>
        </w:tc>
        <w:tc>
          <w:tcPr>
            <w:tcW w:w="957"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法律服务机构</w:t>
            </w:r>
          </w:p>
        </w:tc>
        <w:tc>
          <w:tcPr>
            <w:tcW w:w="70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15" w:type="dxa"/>
            <w:left w:w="15" w:type="dxa"/>
            <w:bottom w:w="15" w:type="dxa"/>
            <w:right w:w="15" w:type="dxa"/>
          </w:tblCellMar>
        </w:tblPrEx>
        <w:trPr>
          <w:jc w:val="center"/>
        </w:trPr>
        <w:tc>
          <w:tcPr>
            <w:tcW w:w="3631"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left"/>
              <w:rPr>
                <w:rFonts w:ascii="宋体" w:hAnsi="宋体" w:eastAsia="宋体" w:cs="宋体"/>
                <w:kern w:val="0"/>
                <w:sz w:val="24"/>
                <w:szCs w:val="24"/>
              </w:rPr>
            </w:pPr>
            <w:r>
              <w:rPr>
                <w:rFonts w:hint="eastAsia" w:ascii="宋体" w:hAnsi="宋体" w:eastAsia="宋体" w:cs="宋体"/>
                <w:color w:val="000000"/>
                <w:kern w:val="0"/>
                <w:sz w:val="20"/>
                <w:szCs w:val="20"/>
              </w:rPr>
              <w:t>一、本年新收政府信息公开申请数量</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17</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17</w:t>
            </w:r>
            <w:bookmarkStart w:id="0" w:name="_GoBack"/>
            <w:bookmarkEnd w:id="0"/>
          </w:p>
        </w:tc>
      </w:tr>
      <w:tr>
        <w:tblPrEx>
          <w:tblCellMar>
            <w:top w:w="15" w:type="dxa"/>
            <w:left w:w="15" w:type="dxa"/>
            <w:bottom w:w="15" w:type="dxa"/>
            <w:right w:w="15" w:type="dxa"/>
          </w:tblCellMar>
        </w:tblPrEx>
        <w:trPr>
          <w:jc w:val="center"/>
        </w:trPr>
        <w:tc>
          <w:tcPr>
            <w:tcW w:w="3631"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left"/>
              <w:rPr>
                <w:rFonts w:ascii="宋体" w:hAnsi="宋体" w:eastAsia="宋体" w:cs="宋体"/>
                <w:kern w:val="0"/>
                <w:sz w:val="24"/>
                <w:szCs w:val="24"/>
              </w:rPr>
            </w:pPr>
            <w:r>
              <w:rPr>
                <w:rFonts w:hint="eastAsia" w:ascii="宋体" w:hAnsi="宋体" w:eastAsia="宋体" w:cs="宋体"/>
                <w:color w:val="000000"/>
                <w:kern w:val="0"/>
                <w:sz w:val="20"/>
                <w:szCs w:val="20"/>
              </w:rPr>
              <w:t>二、上年结转政府信息公开申请数量</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666" w:type="dxa"/>
            <w:vMerge w:val="restart"/>
            <w:tcBorders>
              <w:top w:val="nil"/>
              <w:left w:val="single" w:color="auto" w:sz="8" w:space="0"/>
              <w:bottom w:val="nil"/>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三、本年度办理结果</w:t>
            </w:r>
          </w:p>
        </w:tc>
        <w:tc>
          <w:tcPr>
            <w:tcW w:w="296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（一）予以公开</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rPr>
            </w:pPr>
            <w:r>
              <w:rPr>
                <w:rFonts w:hint="default" w:ascii="宋体" w:hAnsi="宋体" w:eastAsia="宋体" w:cs="宋体"/>
                <w:kern w:val="0"/>
                <w:sz w:val="24"/>
                <w:szCs w:val="24"/>
                <w:lang w:val="en-US"/>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296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（二）部分公开（区分处理的，只计这一情形，不计其他情形）</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ascii="Calibri" w:hAnsi="Calibri" w:eastAsia="宋体" w:cs="Calibri"/>
                <w:color w:val="000000"/>
                <w:kern w:val="0"/>
                <w:sz w:val="20"/>
                <w:szCs w:val="20"/>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816"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（三）不予公开</w:t>
            </w: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1.属于国家秘密</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left"/>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2.其他法律行政法规禁止公开</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3.危及“三安全一稳定”</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4.保护第三方合法权益</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5.属于三类内部事务信息</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6.属于四类过程性信息</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7.属于行政执法案卷</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8.属于行政查询事项</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816"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（四）无法提供</w:t>
            </w: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1.本机关不掌握相关政府信息</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eastAsia" w:ascii="宋体" w:hAnsi="宋体" w:eastAsia="宋体" w:cs="宋体"/>
                <w:kern w:val="0"/>
                <w:sz w:val="24"/>
                <w:szCs w:val="24"/>
                <w:lang w:eastAsia="zh-CN"/>
              </w:rPr>
            </w:pPr>
            <w:r>
              <w:rPr>
                <w:rFonts w:hint="eastAsia" w:ascii="宋体" w:hAnsi="宋体" w:eastAsia="宋体" w:cs="宋体"/>
                <w:color w:val="000000"/>
                <w:kern w:val="0"/>
                <w:sz w:val="24"/>
                <w:szCs w:val="24"/>
                <w:lang w:val="en-US" w:eastAsia="zh-CN"/>
              </w:rPr>
              <w:t>8</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2.没有现成信息需要另行制作</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3.补正后申请内容仍不明确</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816"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（五）不予处理</w:t>
            </w: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1.信访举报投诉类申请</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2.重复申请</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3.要求提供公开出版物</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4.无正当理由大量反复申请</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4" w:space="0"/>
              <w:right w:val="single" w:color="auto" w:sz="8" w:space="0"/>
            </w:tcBorders>
            <w:vAlign w:val="center"/>
          </w:tcPr>
          <w:p>
            <w:pPr>
              <w:widowControl/>
              <w:jc w:val="left"/>
              <w:rPr>
                <w:rFonts w:ascii="宋体" w:hAnsi="宋体" w:eastAsia="宋体" w:cs="宋体"/>
                <w:kern w:val="0"/>
                <w:sz w:val="24"/>
                <w:szCs w:val="24"/>
              </w:rPr>
            </w:pPr>
          </w:p>
        </w:tc>
        <w:tc>
          <w:tcPr>
            <w:tcW w:w="214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5.要求行政机关确认或重新出具已获取信息</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4" w:space="0"/>
            </w:tcBorders>
            <w:vAlign w:val="center"/>
          </w:tcPr>
          <w:p>
            <w:pPr>
              <w:widowControl/>
              <w:jc w:val="left"/>
              <w:rPr>
                <w:rFonts w:ascii="宋体" w:hAnsi="宋体" w:eastAsia="宋体" w:cs="宋体"/>
                <w:kern w:val="0"/>
                <w:sz w:val="24"/>
                <w:szCs w:val="24"/>
              </w:rPr>
            </w:pPr>
          </w:p>
        </w:tc>
        <w:tc>
          <w:tcPr>
            <w:tcW w:w="816" w:type="dxa"/>
            <w:vMerge w:val="restart"/>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（六）其他处理</w:t>
            </w:r>
          </w:p>
        </w:tc>
        <w:tc>
          <w:tcPr>
            <w:tcW w:w="2149"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1.申请人无正当理由逾期不补正、行政机关不再处理其政府信息公开申请</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trHeight w:val="335" w:hRule="atLeast"/>
          <w:jc w:val="center"/>
        </w:trPr>
        <w:tc>
          <w:tcPr>
            <w:tcW w:w="0" w:type="auto"/>
            <w:vMerge w:val="continue"/>
            <w:tcBorders>
              <w:top w:val="nil"/>
              <w:left w:val="single" w:color="auto" w:sz="8" w:space="0"/>
              <w:bottom w:val="nil"/>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49" w:type="dxa"/>
            <w:tcBorders>
              <w:top w:val="nil"/>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楷体" w:hAnsi="楷体" w:eastAsia="楷体" w:cs="宋体"/>
                <w:color w:val="000000"/>
                <w:kern w:val="0"/>
                <w:sz w:val="20"/>
                <w:szCs w:val="20"/>
              </w:rPr>
              <w:t>2.申请人逾期未按收费通知要求缴纳费用、行政机关不再处理其政府信息公开申请</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nil"/>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49" w:type="dxa"/>
            <w:tcBorders>
              <w:top w:val="nil"/>
              <w:left w:val="single" w:color="auto" w:sz="4" w:space="0"/>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宋体" w:hAnsi="宋体" w:eastAsia="宋体" w:cs="宋体"/>
                <w:color w:val="000000"/>
                <w:kern w:val="0"/>
                <w:sz w:val="20"/>
                <w:szCs w:val="20"/>
              </w:rPr>
              <w:t>3.其他</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65" w:type="dxa"/>
            <w:gridSpan w:val="2"/>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center"/>
          </w:tcPr>
          <w:p>
            <w:pPr>
              <w:widowControl/>
              <w:spacing w:before="225" w:line="280" w:lineRule="atLeast"/>
              <w:jc w:val="left"/>
              <w:rPr>
                <w:rFonts w:ascii="宋体" w:hAnsi="宋体" w:eastAsia="宋体" w:cs="宋体"/>
                <w:kern w:val="0"/>
                <w:sz w:val="24"/>
                <w:szCs w:val="24"/>
              </w:rPr>
            </w:pPr>
            <w:r>
              <w:rPr>
                <w:rFonts w:hint="eastAsia" w:ascii="宋体" w:hAnsi="宋体" w:eastAsia="宋体" w:cs="宋体"/>
                <w:color w:val="000000"/>
                <w:kern w:val="0"/>
                <w:sz w:val="20"/>
                <w:szCs w:val="20"/>
              </w:rPr>
              <w:t>（七）总计</w:t>
            </w:r>
          </w:p>
        </w:tc>
        <w:tc>
          <w:tcPr>
            <w:tcW w:w="802" w:type="dxa"/>
            <w:tcBorders>
              <w:top w:val="nil"/>
              <w:left w:val="single" w:color="auto" w:sz="4" w:space="0"/>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17</w:t>
            </w:r>
          </w:p>
        </w:tc>
        <w:tc>
          <w:tcPr>
            <w:tcW w:w="745"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default" w:ascii="宋体" w:hAnsi="宋体" w:eastAsia="宋体" w:cs="宋体"/>
                <w:color w:val="000000"/>
                <w:kern w:val="0"/>
                <w:sz w:val="24"/>
                <w:szCs w:val="24"/>
                <w:lang w:val="en-US"/>
              </w:rPr>
              <w:t>0</w:t>
            </w:r>
          </w:p>
        </w:tc>
        <w:tc>
          <w:tcPr>
            <w:tcW w:w="745"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17</w:t>
            </w:r>
          </w:p>
        </w:tc>
      </w:tr>
      <w:tr>
        <w:tblPrEx>
          <w:tblCellMar>
            <w:top w:w="15" w:type="dxa"/>
            <w:left w:w="15" w:type="dxa"/>
            <w:bottom w:w="15" w:type="dxa"/>
            <w:right w:w="15" w:type="dxa"/>
          </w:tblCellMar>
        </w:tblPrEx>
        <w:trPr>
          <w:jc w:val="center"/>
        </w:trPr>
        <w:tc>
          <w:tcPr>
            <w:tcW w:w="3631" w:type="dxa"/>
            <w:gridSpan w:val="3"/>
            <w:tcBorders>
              <w:top w:val="single" w:color="auto" w:sz="4" w:space="0"/>
              <w:left w:val="single" w:color="auto" w:sz="4" w:space="0"/>
              <w:bottom w:val="single" w:color="auto" w:sz="4" w:space="0"/>
              <w:right w:val="single" w:color="auto" w:sz="4" w:space="0"/>
            </w:tcBorders>
            <w:shd w:val="clear" w:color="auto" w:fill="E6F4FF"/>
            <w:tcMar>
              <w:top w:w="0" w:type="dxa"/>
              <w:left w:w="108" w:type="dxa"/>
              <w:bottom w:w="0" w:type="dxa"/>
              <w:right w:w="108" w:type="dxa"/>
            </w:tcMar>
            <w:vAlign w:val="top"/>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四、结转下年度继续办理</w:t>
            </w:r>
          </w:p>
        </w:tc>
        <w:tc>
          <w:tcPr>
            <w:tcW w:w="802" w:type="dxa"/>
            <w:tcBorders>
              <w:top w:val="single" w:color="auto" w:sz="4" w:space="0"/>
              <w:left w:val="single" w:color="auto" w:sz="4" w:space="0"/>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rPr>
            </w:pPr>
            <w:r>
              <w:rPr>
                <w:rFonts w:hint="default" w:ascii="宋体" w:hAnsi="宋体" w:eastAsia="宋体" w:cs="宋体"/>
                <w:kern w:val="0"/>
                <w:sz w:val="24"/>
                <w:szCs w:val="24"/>
                <w:lang w:val="en-US"/>
              </w:rPr>
              <w:t>0</w:t>
            </w:r>
          </w:p>
        </w:tc>
        <w:tc>
          <w:tcPr>
            <w:tcW w:w="745" w:type="dxa"/>
            <w:tcBorders>
              <w:top w:val="single" w:color="auto" w:sz="4" w:space="0"/>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45" w:type="dxa"/>
            <w:tcBorders>
              <w:top w:val="single" w:color="auto" w:sz="4" w:space="0"/>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802" w:type="dxa"/>
            <w:tcBorders>
              <w:top w:val="single" w:color="auto" w:sz="4" w:space="0"/>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957" w:type="dxa"/>
            <w:tcBorders>
              <w:top w:val="single" w:color="auto" w:sz="4" w:space="0"/>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703" w:type="dxa"/>
            <w:tcBorders>
              <w:top w:val="single" w:color="auto" w:sz="4" w:space="0"/>
              <w:left w:val="nil"/>
              <w:bottom w:val="single" w:color="auto" w:sz="4"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86" w:type="dxa"/>
            <w:tcBorders>
              <w:top w:val="single" w:color="auto" w:sz="4" w:space="0"/>
              <w:left w:val="nil"/>
              <w:bottom w:val="single" w:color="auto" w:sz="4" w:space="0"/>
              <w:right w:val="single" w:color="auto" w:sz="4" w:space="0"/>
            </w:tcBorders>
            <w:shd w:val="clear" w:color="auto" w:fill="E6F4FF"/>
            <w:tcMar>
              <w:top w:w="0" w:type="dxa"/>
              <w:left w:w="108" w:type="dxa"/>
              <w:bottom w:w="0" w:type="dxa"/>
              <w:right w:w="108" w:type="dxa"/>
            </w:tcMar>
            <w:vAlign w:val="center"/>
          </w:tcPr>
          <w:p>
            <w:pPr>
              <w:widowControl/>
              <w:spacing w:before="225"/>
              <w:jc w:val="center"/>
              <w:rPr>
                <w:rFonts w:hint="default" w:ascii="宋体" w:hAnsi="宋体" w:eastAsia="宋体" w:cs="宋体"/>
                <w:kern w:val="0"/>
                <w:sz w:val="24"/>
                <w:szCs w:val="24"/>
                <w:lang w:val="en-US"/>
              </w:rPr>
            </w:pPr>
            <w:r>
              <w:rPr>
                <w:rFonts w:hint="default" w:ascii="宋体" w:hAnsi="宋体" w:eastAsia="宋体" w:cs="宋体"/>
                <w:kern w:val="0"/>
                <w:sz w:val="24"/>
                <w:szCs w:val="24"/>
                <w:lang w:val="en-US"/>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225" w:after="225" w:line="580" w:lineRule="atLeas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四、政府信息公开行政复议、行政诉讼情况 </w:t>
      </w:r>
    </w:p>
    <w:tbl>
      <w:tblPr>
        <w:tblStyle w:val="3"/>
        <w:tblW w:w="9071" w:type="dxa"/>
        <w:jc w:val="cente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left"/>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before="225"/>
              <w:jc w:val="left"/>
              <w:rPr>
                <w:rFonts w:ascii="宋体" w:hAnsi="宋体" w:eastAsia="宋体" w:cs="宋体"/>
                <w:kern w:val="0"/>
                <w:sz w:val="24"/>
                <w:szCs w:val="24"/>
              </w:rPr>
            </w:pPr>
            <w:r>
              <w:rPr>
                <w:rFonts w:hint="eastAsia" w:ascii="宋体" w:hAnsi="宋体" w:eastAsia="宋体" w:cs="宋体"/>
                <w:color w:val="000000"/>
                <w:kern w:val="0"/>
                <w:sz w:val="24"/>
                <w:szCs w:val="24"/>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225" w:after="225" w:line="580" w:lineRule="atLeas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五、存在的主要问题及改进情况</w:t>
      </w:r>
    </w:p>
    <w:p>
      <w:pPr>
        <w:widowControl/>
        <w:shd w:val="clear" w:color="auto" w:fill="FFFFFF"/>
        <w:spacing w:before="225" w:line="580" w:lineRule="exact"/>
        <w:ind w:firstLine="482"/>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政务公开</w:t>
      </w:r>
      <w:r>
        <w:rPr>
          <w:rFonts w:hint="eastAsia" w:ascii="仿宋_GB2312" w:hAnsi="仿宋_GB2312" w:eastAsia="仿宋_GB2312" w:cs="仿宋_GB2312"/>
          <w:color w:val="000000"/>
          <w:kern w:val="0"/>
          <w:sz w:val="32"/>
          <w:szCs w:val="32"/>
        </w:rPr>
        <w:t>工作虽然取得了一些成绩，但也存在许多不足，主要有以下几个方面：一是工作人员对相关业务不够熟悉；二是政策解读形式比较单一；三是政务公开形式创新不够。</w:t>
      </w:r>
    </w:p>
    <w:p>
      <w:pPr>
        <w:widowControl/>
        <w:shd w:val="clear" w:color="auto" w:fill="FFFFFF"/>
        <w:spacing w:before="225" w:line="580" w:lineRule="exact"/>
        <w:ind w:firstLine="482"/>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lang w:val="en-US" w:eastAsia="zh-CN"/>
        </w:rPr>
        <w:t>2024年</w:t>
      </w:r>
      <w:r>
        <w:rPr>
          <w:rFonts w:hint="eastAsia" w:ascii="仿宋_GB2312" w:hAnsi="仿宋_GB2312" w:eastAsia="仿宋_GB2312" w:cs="仿宋_GB2312"/>
          <w:color w:val="000000"/>
          <w:kern w:val="0"/>
          <w:sz w:val="32"/>
          <w:szCs w:val="32"/>
        </w:rPr>
        <w:t>，我们将严格按照国家和省、市有关要求，进一步加强市卫生健康委门户网站建设，进一步完善政务公开栏目建设，聚焦聚力重点工作，及时发布权威信息，大力提升网站发布信息、解读政策、回应关切、引导舆论的功能，全面提升政务公开的质量和实效，努力实现我委政务公开工作水平的全面提升，为推动全市卫生健康事业高质量跨越式发展作出新贡献。</w:t>
      </w:r>
    </w:p>
    <w:p>
      <w:pPr>
        <w:keepNext w:val="0"/>
        <w:keepLines w:val="0"/>
        <w:pageBreakBefore w:val="0"/>
        <w:widowControl/>
        <w:shd w:val="clear" w:color="auto" w:fill="FFFFFF"/>
        <w:kinsoku/>
        <w:wordWrap/>
        <w:overflowPunct/>
        <w:topLinePunct w:val="0"/>
        <w:autoSpaceDE/>
        <w:autoSpaceDN/>
        <w:bidi w:val="0"/>
        <w:adjustRightInd/>
        <w:snapToGrid/>
        <w:spacing w:before="225" w:after="225" w:line="580" w:lineRule="atLeast"/>
        <w:ind w:firstLine="640" w:firstLineChars="200"/>
        <w:jc w:val="left"/>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六、其他需要报告的事项</w:t>
      </w:r>
    </w:p>
    <w:p>
      <w:pPr>
        <w:widowControl/>
        <w:shd w:val="clear" w:color="auto" w:fill="FFFFFF"/>
        <w:spacing w:before="225" w:after="225" w:line="580" w:lineRule="atLeast"/>
        <w:ind w:left="960" w:hanging="48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2023年度本机关无收取信息处理费情况。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D3"/>
    <w:rsid w:val="00160B02"/>
    <w:rsid w:val="00197267"/>
    <w:rsid w:val="00245A6A"/>
    <w:rsid w:val="003E08B8"/>
    <w:rsid w:val="00406B92"/>
    <w:rsid w:val="0044309F"/>
    <w:rsid w:val="00587CF2"/>
    <w:rsid w:val="00710D8D"/>
    <w:rsid w:val="007E41BD"/>
    <w:rsid w:val="0095747E"/>
    <w:rsid w:val="009836CA"/>
    <w:rsid w:val="00A00BD3"/>
    <w:rsid w:val="00A041B4"/>
    <w:rsid w:val="00BE095D"/>
    <w:rsid w:val="00C60ADE"/>
    <w:rsid w:val="00C92740"/>
    <w:rsid w:val="00EC14B4"/>
    <w:rsid w:val="00F34815"/>
    <w:rsid w:val="157B8412"/>
    <w:rsid w:val="2B597762"/>
    <w:rsid w:val="344D67D9"/>
    <w:rsid w:val="377B26BE"/>
    <w:rsid w:val="4758FAFE"/>
    <w:rsid w:val="55D7ABFE"/>
    <w:rsid w:val="5B432B2A"/>
    <w:rsid w:val="64AE8206"/>
    <w:rsid w:val="6FAE16C1"/>
    <w:rsid w:val="6FFDB6B3"/>
    <w:rsid w:val="74EFBB05"/>
    <w:rsid w:val="77DBDE88"/>
    <w:rsid w:val="77FDCDC0"/>
    <w:rsid w:val="7A465B6E"/>
    <w:rsid w:val="7C7F6EE3"/>
    <w:rsid w:val="7DDF80E7"/>
    <w:rsid w:val="7EB73D6C"/>
    <w:rsid w:val="7F65B1A7"/>
    <w:rsid w:val="7FED33AB"/>
    <w:rsid w:val="7FFC6D0B"/>
    <w:rsid w:val="8E773EC2"/>
    <w:rsid w:val="96FBE635"/>
    <w:rsid w:val="A6D3F439"/>
    <w:rsid w:val="CFAEB7E9"/>
    <w:rsid w:val="DFFF02E3"/>
    <w:rsid w:val="EED73DC4"/>
    <w:rsid w:val="EF5F0DEA"/>
    <w:rsid w:val="EFDEC7BC"/>
    <w:rsid w:val="F17B357A"/>
    <w:rsid w:val="F2BC27A2"/>
    <w:rsid w:val="F6EBAD30"/>
    <w:rsid w:val="FB77C28D"/>
    <w:rsid w:val="FF7355E6"/>
    <w:rsid w:val="FFBFCAC3"/>
    <w:rsid w:val="FFEF3DC2"/>
    <w:rsid w:val="FFF7E2FB"/>
    <w:rsid w:val="FFF9D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1 字符"/>
    <w:basedOn w:val="4"/>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497</Words>
  <Characters>2834</Characters>
  <Lines>23</Lines>
  <Paragraphs>6</Paragraphs>
  <TotalTime>18</TotalTime>
  <ScaleCrop>false</ScaleCrop>
  <LinksUpToDate>false</LinksUpToDate>
  <CharactersWithSpaces>3325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2022-12-18T16:35:00Z</dcterms:created>
  <dc:creator>Administrator</dc:creator>
  <cp:lastModifiedBy>user</cp:lastModifiedBy>
  <cp:lastPrinted>2024-01-26T00:35:00Z</cp:lastPrinted>
  <dcterms:modified xsi:type="dcterms:W3CDTF">2024-01-29T15:25:09Z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